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A45F3" w14:textId="062D756F" w:rsidR="003B4CFA" w:rsidRDefault="008933C5">
      <w:pPr>
        <w:widowControl/>
        <w:tabs>
          <w:tab w:val="left" w:pos="-1404"/>
          <w:tab w:val="left" w:pos="-972"/>
          <w:tab w:val="right" w:pos="-240"/>
          <w:tab w:val="left" w:pos="0"/>
          <w:tab w:val="left" w:pos="480"/>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24" w:lineRule="auto"/>
        <w:jc w:val="both"/>
        <w:rPr>
          <w:rFonts w:ascii="Zurich Ex BT" w:hAnsi="Zurich Ex BT"/>
          <w:sz w:val="22"/>
        </w:rPr>
      </w:pPr>
      <w:r>
        <w:rPr>
          <w:noProof/>
        </w:rPr>
        <w:drawing>
          <wp:anchor distT="0" distB="0" distL="114300" distR="114300" simplePos="0" relativeHeight="251657728" behindDoc="0" locked="0" layoutInCell="1" allowOverlap="1" wp14:anchorId="08132B30" wp14:editId="60F7315C">
            <wp:simplePos x="0" y="0"/>
            <wp:positionH relativeFrom="column">
              <wp:posOffset>13335</wp:posOffset>
            </wp:positionH>
            <wp:positionV relativeFrom="paragraph">
              <wp:posOffset>-494665</wp:posOffset>
            </wp:positionV>
            <wp:extent cx="3657600" cy="57467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l="-809" t="-116449" r="-809" b="-116449"/>
                    <a:stretch>
                      <a:fillRect/>
                    </a:stretch>
                  </pic:blipFill>
                  <pic:spPr bwMode="auto">
                    <a:xfrm>
                      <a:off x="0" y="0"/>
                      <a:ext cx="3657600" cy="574675"/>
                    </a:xfrm>
                    <a:prstGeom prst="rect">
                      <a:avLst/>
                    </a:prstGeom>
                    <a:noFill/>
                  </pic:spPr>
                </pic:pic>
              </a:graphicData>
            </a:graphic>
            <wp14:sizeRelH relativeFrom="page">
              <wp14:pctWidth>0</wp14:pctWidth>
            </wp14:sizeRelH>
            <wp14:sizeRelV relativeFrom="page">
              <wp14:pctHeight>0</wp14:pctHeight>
            </wp14:sizeRelV>
          </wp:anchor>
        </w:drawing>
      </w:r>
    </w:p>
    <w:p w14:paraId="7FAA3A5D" w14:textId="77777777" w:rsidR="003B4CFA" w:rsidRDefault="003B4CFA">
      <w:pPr>
        <w:widowControl/>
        <w:tabs>
          <w:tab w:val="left" w:pos="-1404"/>
          <w:tab w:val="left" w:pos="-972"/>
          <w:tab w:val="right" w:pos="-240"/>
          <w:tab w:val="left" w:pos="0"/>
          <w:tab w:val="left" w:pos="480"/>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24" w:lineRule="auto"/>
        <w:jc w:val="both"/>
        <w:rPr>
          <w:rFonts w:ascii="Zurich Ex BT" w:hAnsi="Zurich Ex BT"/>
          <w:sz w:val="22"/>
        </w:rPr>
      </w:pPr>
    </w:p>
    <w:p w14:paraId="408DFFBD" w14:textId="77777777" w:rsidR="003B4CFA" w:rsidRDefault="003B4CFA">
      <w:pPr>
        <w:widowControl/>
        <w:tabs>
          <w:tab w:val="left" w:pos="-1404"/>
          <w:tab w:val="left" w:pos="-972"/>
          <w:tab w:val="right" w:pos="-240"/>
          <w:tab w:val="left" w:pos="0"/>
          <w:tab w:val="left" w:pos="480"/>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24" w:lineRule="auto"/>
        <w:jc w:val="both"/>
        <w:rPr>
          <w:rFonts w:ascii="Zurich Ex BT" w:hAnsi="Zurich Ex BT"/>
          <w:sz w:val="22"/>
        </w:rPr>
      </w:pPr>
    </w:p>
    <w:p w14:paraId="2298DC8A" w14:textId="77777777" w:rsidR="003B4CFA" w:rsidRDefault="003B4CFA">
      <w:pPr>
        <w:widowControl/>
        <w:tabs>
          <w:tab w:val="left" w:pos="-1404"/>
          <w:tab w:val="left" w:pos="-972"/>
          <w:tab w:val="right" w:pos="-240"/>
          <w:tab w:val="left" w:pos="0"/>
          <w:tab w:val="left" w:pos="480"/>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24" w:lineRule="auto"/>
        <w:jc w:val="both"/>
        <w:rPr>
          <w:rFonts w:ascii="Zurich Ex BT" w:hAnsi="Zurich Ex BT"/>
          <w:sz w:val="22"/>
        </w:rPr>
      </w:pPr>
    </w:p>
    <w:p w14:paraId="5D515CAB" w14:textId="1828433C" w:rsidR="003B4CFA" w:rsidRDefault="008933C5">
      <w:pPr>
        <w:framePr w:w="1244" w:h="1252" w:hRule="exact" w:hSpace="240" w:vSpace="240" w:wrap="auto" w:vAnchor="page" w:hAnchor="margin" w:x="-1079" w:y="512"/>
        <w:pBdr>
          <w:top w:val="single" w:sz="6" w:space="0" w:color="FFFFFF"/>
          <w:left w:val="single" w:sz="6" w:space="0" w:color="FFFFFF"/>
          <w:bottom w:val="single" w:sz="6" w:space="0" w:color="FFFFFF"/>
          <w:right w:val="single" w:sz="6" w:space="0" w:color="FFFFFF"/>
        </w:pBdr>
        <w:rPr>
          <w:sz w:val="22"/>
        </w:rPr>
      </w:pPr>
      <w:r>
        <w:rPr>
          <w:noProof/>
          <w:sz w:val="22"/>
        </w:rPr>
        <w:drawing>
          <wp:inline distT="0" distB="0" distL="0" distR="0" wp14:anchorId="0E9CFC37" wp14:editId="6B0E2181">
            <wp:extent cx="7905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6" cstate="print">
                      <a:extLst>
                        <a:ext uri="{28A0092B-C50C-407E-A947-70E740481C1C}">
                          <a14:useLocalDpi xmlns:a14="http://schemas.microsoft.com/office/drawing/2010/main" val="0"/>
                        </a:ext>
                      </a:extLst>
                    </a:blip>
                    <a:srcRect l="-2315" r="-2315"/>
                    <a:stretch>
                      <a:fillRect/>
                    </a:stretch>
                  </pic:blipFill>
                  <pic:spPr bwMode="auto">
                    <a:xfrm>
                      <a:off x="0" y="0"/>
                      <a:ext cx="790575" cy="790575"/>
                    </a:xfrm>
                    <a:prstGeom prst="rect">
                      <a:avLst/>
                    </a:prstGeom>
                    <a:noFill/>
                    <a:ln>
                      <a:noFill/>
                    </a:ln>
                  </pic:spPr>
                </pic:pic>
              </a:graphicData>
            </a:graphic>
          </wp:inline>
        </w:drawing>
      </w:r>
    </w:p>
    <w:p w14:paraId="29A3CC62" w14:textId="63725FBD" w:rsidR="003B4CFA" w:rsidRDefault="008933C5">
      <w:pPr>
        <w:widowControl/>
        <w:tabs>
          <w:tab w:val="left" w:pos="-1404"/>
          <w:tab w:val="left" w:pos="-972"/>
          <w:tab w:val="right" w:pos="-2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25" w:lineRule="auto"/>
        <w:ind w:left="2880"/>
        <w:rPr>
          <w:sz w:val="24"/>
        </w:rPr>
      </w:pPr>
      <w:r>
        <w:rPr>
          <w:noProof/>
          <w:sz w:val="24"/>
        </w:rPr>
        <mc:AlternateContent>
          <mc:Choice Requires="wps">
            <w:drawing>
              <wp:anchor distT="0" distB="0" distL="114300" distR="114300" simplePos="0" relativeHeight="251656704" behindDoc="0" locked="1" layoutInCell="1" allowOverlap="1" wp14:anchorId="508183E2" wp14:editId="6AEB6443">
                <wp:simplePos x="0" y="0"/>
                <wp:positionH relativeFrom="margin">
                  <wp:posOffset>4440555</wp:posOffset>
                </wp:positionH>
                <wp:positionV relativeFrom="page">
                  <wp:posOffset>513080</wp:posOffset>
                </wp:positionV>
                <wp:extent cx="2729865" cy="1371600"/>
                <wp:effectExtent l="0" t="0" r="0" b="0"/>
                <wp:wrapNone/>
                <wp:docPr id="10701654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86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4A59944" w14:textId="77777777" w:rsidR="00DC1AB6" w:rsidRDefault="00DC1AB6">
                            <w:pPr>
                              <w:spacing w:line="225" w:lineRule="auto"/>
                              <w:rPr>
                                <w:rFonts w:cs="Arial"/>
                                <w:sz w:val="18"/>
                              </w:rPr>
                            </w:pPr>
                          </w:p>
                          <w:p w14:paraId="5FF5810B" w14:textId="77777777" w:rsidR="00DC1AB6" w:rsidRPr="00964D6B" w:rsidRDefault="00DC1AB6">
                            <w:pPr>
                              <w:spacing w:line="225" w:lineRule="auto"/>
                              <w:rPr>
                                <w:rFonts w:cs="Arial"/>
                                <w:sz w:val="18"/>
                                <w:lang w:val="en-US"/>
                              </w:rPr>
                            </w:pPr>
                            <w:r w:rsidRPr="00964D6B">
                              <w:rPr>
                                <w:sz w:val="18"/>
                                <w:lang w:val="en-US"/>
                              </w:rPr>
                              <w:t>Public Health Service</w:t>
                            </w:r>
                          </w:p>
                          <w:p w14:paraId="68647DCD" w14:textId="77777777" w:rsidR="009D3AE9" w:rsidRPr="00964D6B" w:rsidRDefault="009D3AE9">
                            <w:pPr>
                              <w:spacing w:line="225" w:lineRule="auto"/>
                              <w:rPr>
                                <w:rFonts w:cs="Arial"/>
                                <w:sz w:val="18"/>
                                <w:lang w:val="en-US"/>
                              </w:rPr>
                            </w:pPr>
                          </w:p>
                          <w:p w14:paraId="5FDB6ECA" w14:textId="6B0BC462" w:rsidR="00DC1AB6" w:rsidRPr="00964D6B" w:rsidRDefault="00DC1AB6">
                            <w:pPr>
                              <w:spacing w:line="214" w:lineRule="auto"/>
                              <w:rPr>
                                <w:rFonts w:cs="Arial"/>
                                <w:sz w:val="18"/>
                                <w:lang w:val="en-US"/>
                              </w:rPr>
                            </w:pPr>
                          </w:p>
                          <w:p w14:paraId="00361514" w14:textId="77777777" w:rsidR="00DC1AB6" w:rsidRPr="00964D6B" w:rsidRDefault="00DC1AB6">
                            <w:pPr>
                              <w:spacing w:line="214" w:lineRule="auto"/>
                              <w:rPr>
                                <w:rFonts w:cs="Arial"/>
                                <w:sz w:val="18"/>
                                <w:lang w:val="en-US"/>
                              </w:rPr>
                            </w:pPr>
                            <w:r w:rsidRPr="00964D6B">
                              <w:rPr>
                                <w:sz w:val="18"/>
                                <w:lang w:val="en-US"/>
                              </w:rPr>
                              <w:t xml:space="preserve">National Institutes of Health </w:t>
                            </w:r>
                          </w:p>
                          <w:p w14:paraId="3B329BB2" w14:textId="3D79C289" w:rsidR="00DC1AB6" w:rsidRDefault="00DC1AB6">
                            <w:pPr>
                              <w:spacing w:line="214" w:lineRule="auto"/>
                              <w:rPr>
                                <w:rFonts w:cs="Arial"/>
                                <w:sz w:val="18"/>
                              </w:rPr>
                            </w:pPr>
                            <w:r>
                              <w:rPr>
                                <w:sz w:val="18"/>
                              </w:rPr>
                              <w:t>Bethesda, MD  20892</w:t>
                            </w:r>
                          </w:p>
                          <w:p w14:paraId="79CC3399" w14:textId="77777777" w:rsidR="005303AD" w:rsidRDefault="005303AD">
                            <w:pPr>
                              <w:spacing w:line="214" w:lineRule="auto"/>
                              <w:rPr>
                                <w:rFonts w:cs="Arial"/>
                                <w:sz w:val="18"/>
                              </w:rPr>
                            </w:pPr>
                          </w:p>
                          <w:p w14:paraId="524CB808" w14:textId="09CFD2EE" w:rsidR="005303AD" w:rsidRPr="00D07B10" w:rsidRDefault="005303AD">
                            <w:pPr>
                              <w:spacing w:line="214" w:lineRule="auto"/>
                              <w:rPr>
                                <w:rFonts w:cs="Arial"/>
                              </w:rPr>
                            </w:pPr>
                            <w:r>
                              <w:rPr>
                                <w:sz w:val="18"/>
                              </w:rPr>
                              <w:t>www.nih.gov</w:t>
                            </w:r>
                          </w:p>
                          <w:p w14:paraId="50C45BF8" w14:textId="77777777" w:rsidR="00DC1AB6" w:rsidRPr="00A44004" w:rsidRDefault="00DC1AB6">
                            <w:pPr>
                              <w:spacing w:line="214" w:lineRule="auto"/>
                              <w:jc w:val="both"/>
                              <w:rPr>
                                <w:rFonts w:ascii="Zurich Ex BT" w:hAnsi="Zurich Ex B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183E2" id="Rectangle 3" o:spid="_x0000_s1026" style="position:absolute;left:0;text-align:left;margin-left:349.65pt;margin-top:40.4pt;width:214.95pt;height:10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" filled="f" stroked="f" strokeweight="0">
                <v:textbox inset="0,0,0,0">
                  <w:txbxContent>
                    <w:p w14:paraId="04A59944" w14:textId="77777777" w:rsidR="00DC1AB6" w:rsidRDefault="00DC1AB6">
                      <w:pPr>
                        <w:spacing w:line="225" w:lineRule="auto"/>
                        <w:rPr>
                          <w:rFonts w:cs="Arial"/>
                          <w:sz w:val="18"/>
                        </w:rPr>
                      </w:pPr>
                    </w:p>
                    <w:p w14:paraId="5FF5810B" w14:textId="77777777" w:rsidR="00DC1AB6" w:rsidRPr="00964D6B" w:rsidRDefault="00DC1AB6">
                      <w:pPr>
                        <w:spacing w:line="225" w:lineRule="auto"/>
                        <w:rPr>
                          <w:rFonts w:cs="Arial"/>
                          <w:sz w:val="18"/>
                          <w:lang w:val="en-US"/>
                        </w:rPr>
                      </w:pPr>
                      <w:r w:rsidRPr="00964D6B">
                        <w:rPr>
                          <w:sz w:val="18"/>
                          <w:lang w:val="en-US"/>
                        </w:rPr>
                        <w:t>Public Health Service</w:t>
                      </w:r>
                    </w:p>
                    <w:p w14:paraId="68647DCD" w14:textId="77777777" w:rsidR="009D3AE9" w:rsidRPr="00964D6B" w:rsidRDefault="009D3AE9">
                      <w:pPr>
                        <w:spacing w:line="225" w:lineRule="auto"/>
                        <w:rPr>
                          <w:rFonts w:cs="Arial"/>
                          <w:sz w:val="18"/>
                          <w:lang w:val="en-US"/>
                        </w:rPr>
                      </w:pPr>
                    </w:p>
                    <w:p w14:paraId="5FDB6ECA" w14:textId="6B0BC462" w:rsidR="00DC1AB6" w:rsidRPr="00964D6B" w:rsidRDefault="00DC1AB6">
                      <w:pPr>
                        <w:spacing w:line="214" w:lineRule="auto"/>
                        <w:rPr>
                          <w:rFonts w:cs="Arial"/>
                          <w:sz w:val="18"/>
                          <w:lang w:val="en-US"/>
                        </w:rPr>
                      </w:pPr>
                    </w:p>
                    <w:p w14:paraId="00361514" w14:textId="77777777" w:rsidR="00DC1AB6" w:rsidRPr="00964D6B" w:rsidRDefault="00DC1AB6">
                      <w:pPr>
                        <w:spacing w:line="214" w:lineRule="auto"/>
                        <w:rPr>
                          <w:rFonts w:cs="Arial"/>
                          <w:sz w:val="18"/>
                          <w:lang w:val="en-US"/>
                        </w:rPr>
                      </w:pPr>
                      <w:r w:rsidRPr="00964D6B">
                        <w:rPr>
                          <w:sz w:val="18"/>
                          <w:lang w:val="en-US"/>
                        </w:rPr>
                        <w:t xml:space="preserve">National Institutes of Health </w:t>
                      </w:r>
                    </w:p>
                    <w:p w14:paraId="3B329BB2" w14:textId="3D79C289" w:rsidR="00DC1AB6" w:rsidRDefault="00DC1AB6">
                      <w:pPr>
                        <w:spacing w:line="214" w:lineRule="auto"/>
                        <w:rPr>
                          <w:rFonts w:cs="Arial"/>
                          <w:sz w:val="18"/>
                        </w:rPr>
                      </w:pPr>
                      <w:r>
                        <w:rPr>
                          <w:sz w:val="18"/>
                        </w:rPr>
                        <w:t>Bethesda, MD  20892</w:t>
                      </w:r>
                    </w:p>
                    <w:p w14:paraId="79CC3399" w14:textId="77777777" w:rsidR="005303AD" w:rsidRDefault="005303AD">
                      <w:pPr>
                        <w:spacing w:line="214" w:lineRule="auto"/>
                        <w:rPr>
                          <w:rFonts w:cs="Arial"/>
                          <w:sz w:val="18"/>
                        </w:rPr>
                      </w:pPr>
                    </w:p>
                    <w:p w14:paraId="524CB808" w14:textId="09CFD2EE" w:rsidR="005303AD" w:rsidRPr="00D07B10" w:rsidRDefault="005303AD">
                      <w:pPr>
                        <w:spacing w:line="214" w:lineRule="auto"/>
                        <w:rPr>
                          <w:rFonts w:cs="Arial"/>
                        </w:rPr>
                      </w:pPr>
                      <w:r>
                        <w:rPr>
                          <w:sz w:val="18"/>
                        </w:rPr>
                        <w:t>www.nih.gov</w:t>
                      </w:r>
                    </w:p>
                    <w:p w14:paraId="50C45BF8" w14:textId="77777777" w:rsidR="00DC1AB6" w:rsidRPr="00A44004" w:rsidRDefault="00DC1AB6">
                      <w:pPr>
                        <w:spacing w:line="214" w:lineRule="auto"/>
                        <w:jc w:val="both"/>
                        <w:rPr>
                          <w:rFonts w:ascii="Zurich Ex BT" w:hAnsi="Zurich Ex BT"/>
                        </w:rPr>
                      </w:pPr>
                    </w:p>
                  </w:txbxContent>
                </v:textbox>
                <w10:wrap anchorx="margin" anchory="page"/>
                <w10:anchorlock/>
              </v:rect>
            </w:pict>
          </mc:Fallback>
        </mc:AlternateContent>
      </w:r>
      <w:r>
        <w:rPr>
          <w:noProof/>
          <w:sz w:val="24"/>
        </w:rPr>
        <mc:AlternateContent>
          <mc:Choice Requires="wps">
            <w:drawing>
              <wp:anchor distT="0" distB="0" distL="114300" distR="114300" simplePos="0" relativeHeight="251658752" behindDoc="1" locked="1" layoutInCell="0" allowOverlap="1" wp14:anchorId="40CAFA75" wp14:editId="23603ECC">
                <wp:simplePos x="0" y="0"/>
                <wp:positionH relativeFrom="page">
                  <wp:posOffset>969645</wp:posOffset>
                </wp:positionH>
                <wp:positionV relativeFrom="page">
                  <wp:posOffset>893445</wp:posOffset>
                </wp:positionV>
                <wp:extent cx="6574155" cy="12065"/>
                <wp:effectExtent l="0" t="0" r="0" b="0"/>
                <wp:wrapNone/>
                <wp:docPr id="14241183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4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610FF" id="Rectangle 2" o:spid="_x0000_s1026" style="position:absolute;margin-left:76.35pt;margin-top:70.35pt;width:517.65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" o:allowincell="f" fillcolor="black" stroked="f" strokeweight="0">
                <w10:wrap anchorx="page" anchory="page"/>
                <w10:anchorlock/>
              </v:rect>
            </w:pict>
          </mc:Fallback>
        </mc:AlternateContent>
      </w:r>
    </w:p>
    <w:p w14:paraId="5BB78839" w14:textId="77777777" w:rsidR="003B4CFA" w:rsidRDefault="003B4CFA">
      <w:pPr>
        <w:widowControl/>
        <w:tabs>
          <w:tab w:val="left" w:pos="-1404"/>
          <w:tab w:val="left" w:pos="-972"/>
          <w:tab w:val="right" w:pos="-2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25" w:lineRule="auto"/>
        <w:ind w:left="2880"/>
        <w:rPr>
          <w:sz w:val="24"/>
        </w:rPr>
      </w:pPr>
    </w:p>
    <w:p w14:paraId="6C402186" w14:textId="77777777" w:rsidR="005303AD" w:rsidRDefault="005303AD" w:rsidP="005303AD">
      <w:pPr>
        <w:pStyle w:val="Default"/>
      </w:pPr>
    </w:p>
    <w:p w14:paraId="735304FE" w14:textId="6BC667F7" w:rsidR="005303AD" w:rsidRDefault="005303AD" w:rsidP="005303AD">
      <w:pPr>
        <w:pStyle w:val="Default"/>
        <w:rPr>
          <w:b/>
          <w:bCs/>
          <w:sz w:val="23"/>
          <w:szCs w:val="23"/>
        </w:rPr>
      </w:pPr>
      <w:r>
        <w:rPr>
          <w:b/>
          <w:sz w:val="23"/>
        </w:rPr>
        <w:t xml:space="preserve">Aviso sobre cambios en la declaración de impuestos al IRS a partir del 1 de enero de 2026 </w:t>
      </w:r>
    </w:p>
    <w:p w14:paraId="57020236" w14:textId="77777777" w:rsidR="005303AD" w:rsidRDefault="005303AD" w:rsidP="005303AD">
      <w:pPr>
        <w:pStyle w:val="Default"/>
        <w:rPr>
          <w:sz w:val="23"/>
          <w:szCs w:val="23"/>
        </w:rPr>
      </w:pPr>
    </w:p>
    <w:p w14:paraId="52F37317" w14:textId="7BC85797" w:rsidR="005303AD" w:rsidRDefault="005303AD" w:rsidP="005303AD">
      <w:pPr>
        <w:pStyle w:val="Default"/>
        <w:rPr>
          <w:sz w:val="23"/>
          <w:szCs w:val="23"/>
        </w:rPr>
      </w:pPr>
      <w:r>
        <w:rPr>
          <w:sz w:val="23"/>
        </w:rPr>
        <w:t>Los pagos recibidos como compensación por participar en una investigación se pueden considerar ingresos sujetos a impuestos. Le damos esta información porque hubo cambios en las normas fiscales federales. A partir del 1 de enero de 2026, los Institutos Nacionales de la Salud (NIH) deberán comunicar al Servicio de Impuestos Internos (IRS) los pagos que reciban los voluntarios de investigación de los NIH por su participación en</w:t>
      </w:r>
      <w:r w:rsidR="00671193">
        <w:rPr>
          <w:sz w:val="23"/>
        </w:rPr>
        <w:t xml:space="preserve"> </w:t>
      </w:r>
      <w:r>
        <w:rPr>
          <w:sz w:val="23"/>
        </w:rPr>
        <w:t xml:space="preserve">investigaciones cuando el monto pagado sea de 2000 dólares o más en un año natural. Si a usted le pagan </w:t>
      </w:r>
      <w:r>
        <w:rPr>
          <w:b/>
          <w:sz w:val="23"/>
        </w:rPr>
        <w:t xml:space="preserve">2000 dólares o más en un año </w:t>
      </w:r>
      <w:r>
        <w:rPr>
          <w:sz w:val="23"/>
        </w:rPr>
        <w:t xml:space="preserve">por participar en un estudio de investigación: </w:t>
      </w:r>
    </w:p>
    <w:p w14:paraId="540FF2C3" w14:textId="77777777" w:rsidR="005303AD" w:rsidRDefault="005303AD" w:rsidP="005303AD">
      <w:pPr>
        <w:pStyle w:val="Default"/>
        <w:rPr>
          <w:sz w:val="23"/>
          <w:szCs w:val="23"/>
        </w:rPr>
      </w:pPr>
    </w:p>
    <w:p w14:paraId="60932C12" w14:textId="6315B64D" w:rsidR="005303AD" w:rsidRDefault="005303AD" w:rsidP="005303AD">
      <w:pPr>
        <w:pStyle w:val="Default"/>
        <w:numPr>
          <w:ilvl w:val="0"/>
          <w:numId w:val="13"/>
        </w:numPr>
        <w:spacing w:after="181"/>
        <w:rPr>
          <w:sz w:val="23"/>
          <w:szCs w:val="23"/>
        </w:rPr>
      </w:pPr>
      <w:r>
        <w:rPr>
          <w:sz w:val="23"/>
        </w:rPr>
        <w:t>Recibirá un formulario 1099 (</w:t>
      </w:r>
      <w:r w:rsidR="006815B1">
        <w:rPr>
          <w:sz w:val="23"/>
        </w:rPr>
        <w:t>“</w:t>
      </w:r>
      <w:r w:rsidRPr="007D3584">
        <w:rPr>
          <w:sz w:val="23"/>
          <w:lang w:val="en-US"/>
        </w:rPr>
        <w:t>Miscellaneous Income</w:t>
      </w:r>
      <w:r w:rsidR="006815B1">
        <w:rPr>
          <w:sz w:val="23"/>
        </w:rPr>
        <w:t>”</w:t>
      </w:r>
      <w:r>
        <w:rPr>
          <w:sz w:val="23"/>
        </w:rPr>
        <w:t xml:space="preserve"> [Ingresos varios]). </w:t>
      </w:r>
    </w:p>
    <w:p w14:paraId="090E8BE7" w14:textId="4D241459" w:rsidR="005303AD" w:rsidRDefault="005303AD" w:rsidP="005303AD">
      <w:pPr>
        <w:pStyle w:val="Default"/>
        <w:numPr>
          <w:ilvl w:val="0"/>
          <w:numId w:val="13"/>
        </w:numPr>
        <w:rPr>
          <w:sz w:val="23"/>
          <w:szCs w:val="23"/>
        </w:rPr>
      </w:pPr>
      <w:r>
        <w:rPr>
          <w:sz w:val="23"/>
        </w:rPr>
        <w:t xml:space="preserve">Además, se enviará una copia de este formulario al IRS. </w:t>
      </w:r>
    </w:p>
    <w:p w14:paraId="0E19DCD6" w14:textId="77777777" w:rsidR="005303AD" w:rsidRDefault="005303AD" w:rsidP="005303AD">
      <w:pPr>
        <w:pStyle w:val="Default"/>
        <w:rPr>
          <w:sz w:val="23"/>
          <w:szCs w:val="23"/>
        </w:rPr>
      </w:pPr>
    </w:p>
    <w:p w14:paraId="1139AEE6" w14:textId="52EA8A19" w:rsidR="005303AD" w:rsidRDefault="005303AD" w:rsidP="007B06B3">
      <w:pPr>
        <w:pStyle w:val="Default"/>
        <w:spacing w:after="240"/>
        <w:rPr>
          <w:sz w:val="23"/>
          <w:szCs w:val="23"/>
        </w:rPr>
      </w:pPr>
      <w:r>
        <w:rPr>
          <w:sz w:val="23"/>
        </w:rPr>
        <w:t xml:space="preserve">El reembolso que se le ofrezca, según el estudio en el que participe, por los gastos razonables que tenga que pagar de su bolsillo, como estacionamiento, comidas o kilometraje, no está sujeto a impuestos federales. Es decir, el reembolso de estos gastos no se tiene en cuenta al calcular el límite de 2000 dólares mencionado anteriormente. </w:t>
      </w:r>
    </w:p>
    <w:p w14:paraId="6CF76706" w14:textId="77777777" w:rsidR="005303AD" w:rsidRDefault="005303AD" w:rsidP="005303AD">
      <w:pPr>
        <w:pStyle w:val="Default"/>
        <w:rPr>
          <w:sz w:val="23"/>
          <w:szCs w:val="23"/>
        </w:rPr>
      </w:pPr>
      <w:r>
        <w:rPr>
          <w:sz w:val="23"/>
        </w:rPr>
        <w:t xml:space="preserve">A excepción de los cambios que se describen en el presente documento, </w:t>
      </w:r>
      <w:r w:rsidRPr="00AD73EF">
        <w:rPr>
          <w:b/>
          <w:bCs/>
          <w:sz w:val="23"/>
        </w:rPr>
        <w:t>el resto del contenido de su formulario de consentimiento original sigue siendo el mismo</w:t>
      </w:r>
      <w:r>
        <w:rPr>
          <w:sz w:val="23"/>
        </w:rPr>
        <w:t xml:space="preserve">. </w:t>
      </w:r>
    </w:p>
    <w:p w14:paraId="616A62EB" w14:textId="77777777" w:rsidR="005303AD" w:rsidRDefault="005303AD" w:rsidP="005303AD">
      <w:pPr>
        <w:pStyle w:val="Default"/>
        <w:rPr>
          <w:sz w:val="23"/>
          <w:szCs w:val="23"/>
        </w:rPr>
      </w:pPr>
    </w:p>
    <w:p w14:paraId="6A38373B" w14:textId="77777777" w:rsidR="005303AD" w:rsidRDefault="005303AD" w:rsidP="005303AD">
      <w:pPr>
        <w:pStyle w:val="Default"/>
        <w:rPr>
          <w:b/>
          <w:bCs/>
          <w:sz w:val="23"/>
          <w:szCs w:val="23"/>
        </w:rPr>
      </w:pPr>
      <w:r>
        <w:rPr>
          <w:b/>
          <w:sz w:val="23"/>
        </w:rPr>
        <w:t xml:space="preserve">Preguntas sobre esta información </w:t>
      </w:r>
    </w:p>
    <w:p w14:paraId="43AFBFC1" w14:textId="77777777" w:rsidR="005303AD" w:rsidRDefault="005303AD" w:rsidP="005303AD">
      <w:pPr>
        <w:pStyle w:val="Default"/>
        <w:rPr>
          <w:sz w:val="23"/>
          <w:szCs w:val="23"/>
        </w:rPr>
      </w:pPr>
    </w:p>
    <w:p w14:paraId="09ABBB69" w14:textId="620B41DD" w:rsidR="005303AD" w:rsidRDefault="005303AD" w:rsidP="005303AD">
      <w:pPr>
        <w:pStyle w:val="Default"/>
        <w:rPr>
          <w:sz w:val="23"/>
          <w:szCs w:val="23"/>
        </w:rPr>
      </w:pPr>
      <w:r>
        <w:rPr>
          <w:sz w:val="23"/>
        </w:rPr>
        <w:t xml:space="preserve">Si tiene alguna pregunta, duda o queja relacionada con su participación, </w:t>
      </w:r>
      <w:r w:rsidR="00950485">
        <w:rPr>
          <w:sz w:val="23"/>
        </w:rPr>
        <w:t xml:space="preserve">no dude en </w:t>
      </w:r>
      <w:r>
        <w:rPr>
          <w:sz w:val="23"/>
        </w:rPr>
        <w:t>contact</w:t>
      </w:r>
      <w:r w:rsidR="00950485">
        <w:rPr>
          <w:sz w:val="23"/>
        </w:rPr>
        <w:t>ar</w:t>
      </w:r>
      <w:r>
        <w:rPr>
          <w:sz w:val="23"/>
        </w:rPr>
        <w:t xml:space="preserve"> al equipo del estudio. </w:t>
      </w:r>
    </w:p>
    <w:p w14:paraId="1C2B5624" w14:textId="77777777" w:rsidR="005303AD" w:rsidRDefault="005303AD" w:rsidP="005303AD">
      <w:pPr>
        <w:pStyle w:val="Default"/>
        <w:rPr>
          <w:sz w:val="23"/>
          <w:szCs w:val="23"/>
        </w:rPr>
      </w:pPr>
    </w:p>
    <w:p w14:paraId="1C4170FB" w14:textId="28124872" w:rsidR="005303AD" w:rsidRDefault="005303AD" w:rsidP="005303AD">
      <w:pPr>
        <w:pStyle w:val="Default"/>
        <w:rPr>
          <w:sz w:val="23"/>
          <w:szCs w:val="23"/>
        </w:rPr>
      </w:pPr>
      <w:r>
        <w:rPr>
          <w:sz w:val="23"/>
        </w:rPr>
        <w:t>Las preguntas sobre cómo los pagos de compensación por</w:t>
      </w:r>
      <w:r w:rsidR="006815B1">
        <w:rPr>
          <w:sz w:val="23"/>
        </w:rPr>
        <w:t xml:space="preserve"> la</w:t>
      </w:r>
      <w:r>
        <w:rPr>
          <w:sz w:val="23"/>
        </w:rPr>
        <w:t xml:space="preserve"> participa</w:t>
      </w:r>
      <w:r w:rsidR="006815B1">
        <w:rPr>
          <w:sz w:val="23"/>
        </w:rPr>
        <w:t>ción</w:t>
      </w:r>
      <w:r>
        <w:rPr>
          <w:sz w:val="23"/>
        </w:rPr>
        <w:t xml:space="preserve"> afectan a sus impuestos las deberá responder un profesional fiscal calificado. El personal del estudio de los NIH no puede responder a preguntas sobre impuestos. </w:t>
      </w:r>
    </w:p>
    <w:p w14:paraId="67E02AB6" w14:textId="77777777" w:rsidR="005303AD" w:rsidRDefault="005303AD" w:rsidP="005303AD">
      <w:pPr>
        <w:pStyle w:val="Default"/>
        <w:rPr>
          <w:sz w:val="23"/>
          <w:szCs w:val="23"/>
        </w:rPr>
      </w:pPr>
    </w:p>
    <w:p w14:paraId="15980BC0" w14:textId="1BEF3A8C" w:rsidR="005303AD" w:rsidRDefault="005303AD" w:rsidP="0019278B">
      <w:pPr>
        <w:pStyle w:val="Default"/>
        <w:ind w:right="-360"/>
        <w:rPr>
          <w:sz w:val="23"/>
          <w:szCs w:val="23"/>
        </w:rPr>
      </w:pPr>
      <w:r>
        <w:rPr>
          <w:sz w:val="23"/>
        </w:rPr>
        <w:t>Si tiene alguna pregunta sobre la declaración de los NIH al IRS, contacte al Programa de Voluntarios para Investigación Clínica</w:t>
      </w:r>
      <w:r w:rsidR="0019278B">
        <w:rPr>
          <w:sz w:val="23"/>
        </w:rPr>
        <w:t xml:space="preserve"> (</w:t>
      </w:r>
      <w:r w:rsidR="0019278B" w:rsidRPr="0019278B">
        <w:rPr>
          <w:sz w:val="23"/>
          <w:lang w:val="en-US"/>
        </w:rPr>
        <w:t>Clinical Research Volunteer Program</w:t>
      </w:r>
      <w:r w:rsidR="0019278B">
        <w:rPr>
          <w:sz w:val="23"/>
        </w:rPr>
        <w:t>)</w:t>
      </w:r>
      <w:r>
        <w:rPr>
          <w:sz w:val="23"/>
        </w:rPr>
        <w:t xml:space="preserve"> a </w:t>
      </w:r>
      <w:hyperlink r:id="rId7" w:history="1">
        <w:r>
          <w:rPr>
            <w:rStyle w:val="Hyperlink"/>
            <w:sz w:val="23"/>
          </w:rPr>
          <w:t>CC-PRPLRVSSupport@cc.nih.gov</w:t>
        </w:r>
      </w:hyperlink>
      <w:r>
        <w:rPr>
          <w:sz w:val="23"/>
        </w:rPr>
        <w:t xml:space="preserve">. </w:t>
      </w:r>
    </w:p>
    <w:p w14:paraId="54A6400A" w14:textId="77777777" w:rsidR="005303AD" w:rsidRDefault="005303AD" w:rsidP="005303AD">
      <w:pPr>
        <w:pStyle w:val="Default"/>
        <w:rPr>
          <w:sz w:val="23"/>
          <w:szCs w:val="23"/>
        </w:rPr>
      </w:pPr>
    </w:p>
    <w:p w14:paraId="050791EE" w14:textId="34B43408" w:rsidR="005303AD" w:rsidRDefault="005303AD" w:rsidP="005303AD">
      <w:pPr>
        <w:pStyle w:val="Default"/>
        <w:rPr>
          <w:sz w:val="23"/>
          <w:szCs w:val="23"/>
        </w:rPr>
      </w:pPr>
      <w:r>
        <w:rPr>
          <w:sz w:val="23"/>
        </w:rPr>
        <w:t>Puede enviar un correo electrónico a</w:t>
      </w:r>
      <w:r w:rsidR="00D10551">
        <w:rPr>
          <w:sz w:val="23"/>
        </w:rPr>
        <w:t>l personal de</w:t>
      </w:r>
      <w:r>
        <w:rPr>
          <w:sz w:val="23"/>
        </w:rPr>
        <w:t xml:space="preserve"> la Oficina del Comité de Revisión Institucional (</w:t>
      </w:r>
      <w:r w:rsidR="00E37193" w:rsidRPr="00E37193">
        <w:rPr>
          <w:sz w:val="23"/>
          <w:lang w:val="en-US"/>
        </w:rPr>
        <w:t>Institutional Review Board</w:t>
      </w:r>
      <w:r w:rsidR="00E37193">
        <w:rPr>
          <w:sz w:val="23"/>
        </w:rPr>
        <w:t xml:space="preserve">, </w:t>
      </w:r>
      <w:r>
        <w:rPr>
          <w:sz w:val="23"/>
        </w:rPr>
        <w:t xml:space="preserve">IRB) de los Institutos Nacionales de la Salud a </w:t>
      </w:r>
      <w:r>
        <w:rPr>
          <w:color w:val="467885"/>
          <w:sz w:val="23"/>
        </w:rPr>
        <w:t>irb@od.nih.gov</w:t>
      </w:r>
      <w:r>
        <w:rPr>
          <w:sz w:val="23"/>
        </w:rPr>
        <w:t xml:space="preserve"> si: </w:t>
      </w:r>
    </w:p>
    <w:p w14:paraId="7CB6C638" w14:textId="77777777" w:rsidR="005303AD" w:rsidRDefault="005303AD" w:rsidP="005303AD">
      <w:pPr>
        <w:pStyle w:val="Default"/>
        <w:rPr>
          <w:sz w:val="23"/>
          <w:szCs w:val="23"/>
        </w:rPr>
      </w:pPr>
    </w:p>
    <w:p w14:paraId="0E760E63" w14:textId="62FD999E" w:rsidR="005303AD" w:rsidRDefault="005303AD" w:rsidP="005303AD">
      <w:pPr>
        <w:pStyle w:val="Default"/>
        <w:numPr>
          <w:ilvl w:val="0"/>
          <w:numId w:val="13"/>
        </w:numPr>
        <w:spacing w:after="179"/>
        <w:rPr>
          <w:sz w:val="23"/>
          <w:szCs w:val="23"/>
        </w:rPr>
      </w:pPr>
      <w:r>
        <w:rPr>
          <w:sz w:val="23"/>
        </w:rPr>
        <w:t>tiene preguntas sobre sus derechos como participante de un estudio de investigación;</w:t>
      </w:r>
    </w:p>
    <w:p w14:paraId="6212A4E9" w14:textId="4F6B508A" w:rsidR="005303AD" w:rsidRDefault="005303AD" w:rsidP="005303AD">
      <w:pPr>
        <w:pStyle w:val="Default"/>
        <w:numPr>
          <w:ilvl w:val="0"/>
          <w:numId w:val="13"/>
        </w:numPr>
        <w:spacing w:after="179"/>
        <w:rPr>
          <w:sz w:val="23"/>
          <w:szCs w:val="23"/>
        </w:rPr>
      </w:pPr>
      <w:r>
        <w:rPr>
          <w:sz w:val="23"/>
        </w:rPr>
        <w:t>desea hablar sobre algún problema relacionado con la investigación;</w:t>
      </w:r>
    </w:p>
    <w:p w14:paraId="004D5A49" w14:textId="05A96A9A" w:rsidR="005303AD" w:rsidRDefault="005303AD" w:rsidP="005303AD">
      <w:pPr>
        <w:pStyle w:val="Default"/>
        <w:numPr>
          <w:ilvl w:val="0"/>
          <w:numId w:val="13"/>
        </w:numPr>
        <w:spacing w:after="179"/>
        <w:rPr>
          <w:sz w:val="23"/>
          <w:szCs w:val="23"/>
        </w:rPr>
      </w:pPr>
      <w:r>
        <w:rPr>
          <w:sz w:val="23"/>
        </w:rPr>
        <w:t>tiene alguna duda o sugerencia relacionada con la investigación;</w:t>
      </w:r>
    </w:p>
    <w:p w14:paraId="3BB49416" w14:textId="56BC0219" w:rsidR="00B072CC" w:rsidRPr="007B06B3" w:rsidRDefault="005303AD" w:rsidP="00B072CC">
      <w:pPr>
        <w:pStyle w:val="Default"/>
        <w:numPr>
          <w:ilvl w:val="0"/>
          <w:numId w:val="13"/>
        </w:numPr>
        <w:rPr>
          <w:sz w:val="23"/>
          <w:szCs w:val="23"/>
        </w:rPr>
      </w:pPr>
      <w:r>
        <w:rPr>
          <w:sz w:val="23"/>
        </w:rPr>
        <w:t>desea obtener información o dar su opinión sobre la investigación.</w:t>
      </w:r>
    </w:p>
    <w:sectPr w:rsidR="00B072CC" w:rsidRPr="007B06B3" w:rsidSect="00964D6B">
      <w:endnotePr>
        <w:numFmt w:val="decimal"/>
      </w:endnotePr>
      <w:pgSz w:w="12240" w:h="15840" w:code="1"/>
      <w:pgMar w:top="1440" w:right="1440" w:bottom="1350" w:left="1440" w:header="1440" w:footer="864"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altName w:val="Times New Roman"/>
    <w:charset w:val="00"/>
    <w:family w:val="swiss"/>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1E7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D6DC4"/>
    <w:multiLevelType w:val="hybridMultilevel"/>
    <w:tmpl w:val="2C68205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A65A0D"/>
    <w:multiLevelType w:val="hybridMultilevel"/>
    <w:tmpl w:val="EE0869A2"/>
    <w:lvl w:ilvl="0" w:tplc="FFFFFFFF">
      <w:start w:val="5"/>
      <w:numFmt w:val="decimal"/>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E674289"/>
    <w:multiLevelType w:val="hybridMultilevel"/>
    <w:tmpl w:val="853E3CC6"/>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36A70C7"/>
    <w:multiLevelType w:val="hybridMultilevel"/>
    <w:tmpl w:val="04D82EE8"/>
    <w:lvl w:ilvl="0" w:tplc="FFFFFFFF">
      <w:start w:val="9"/>
      <w:numFmt w:val="decimal"/>
      <w:lvlText w:val="%1."/>
      <w:lvlJc w:val="left"/>
      <w:pPr>
        <w:tabs>
          <w:tab w:val="num" w:pos="720"/>
        </w:tabs>
        <w:ind w:left="720" w:hanging="360"/>
      </w:pPr>
      <w:rPr>
        <w:rFonts w:eastAsia="Times" w:hint="default"/>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EF1E4B"/>
    <w:multiLevelType w:val="hybridMultilevel"/>
    <w:tmpl w:val="A58462E0"/>
    <w:lvl w:ilvl="0" w:tplc="E1B68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47308"/>
    <w:multiLevelType w:val="hybridMultilevel"/>
    <w:tmpl w:val="8F9822B6"/>
    <w:lvl w:ilvl="0" w:tplc="114A8D6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81900"/>
    <w:multiLevelType w:val="hybridMultilevel"/>
    <w:tmpl w:val="AA1EF58E"/>
    <w:lvl w:ilvl="0" w:tplc="FFFFFFFF">
      <w:start w:val="1"/>
      <w:numFmt w:val="decimal"/>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8" w15:restartNumberingAfterBreak="0">
    <w:nsid w:val="436A0337"/>
    <w:multiLevelType w:val="hybridMultilevel"/>
    <w:tmpl w:val="E6B8E1EE"/>
    <w:lvl w:ilvl="0" w:tplc="FFFFFFFF">
      <w:start w:val="7"/>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4422134A"/>
    <w:multiLevelType w:val="hybridMultilevel"/>
    <w:tmpl w:val="78E2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25895"/>
    <w:multiLevelType w:val="hybridMultilevel"/>
    <w:tmpl w:val="0530681A"/>
    <w:lvl w:ilvl="0" w:tplc="E1B68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F0D95"/>
    <w:multiLevelType w:val="hybridMultilevel"/>
    <w:tmpl w:val="5E428AF8"/>
    <w:lvl w:ilvl="0" w:tplc="FFFFFFFF">
      <w:start w:val="2"/>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6A5F0683"/>
    <w:multiLevelType w:val="hybridMultilevel"/>
    <w:tmpl w:val="6D106D30"/>
    <w:lvl w:ilvl="0" w:tplc="FFFFFFFF">
      <w:start w:val="1"/>
      <w:numFmt w:val="decimal"/>
      <w:lvlText w:val="%1)"/>
      <w:lvlJc w:val="left"/>
      <w:pPr>
        <w:tabs>
          <w:tab w:val="num" w:pos="840"/>
        </w:tabs>
        <w:ind w:left="840" w:hanging="36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13" w15:restartNumberingAfterBreak="0">
    <w:nsid w:val="7FE37996"/>
    <w:multiLevelType w:val="hybridMultilevel"/>
    <w:tmpl w:val="9C783C7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20746300">
    <w:abstractNumId w:val="7"/>
  </w:num>
  <w:num w:numId="2" w16cid:durableId="1400664690">
    <w:abstractNumId w:val="13"/>
  </w:num>
  <w:num w:numId="3" w16cid:durableId="1539925273">
    <w:abstractNumId w:val="12"/>
  </w:num>
  <w:num w:numId="4" w16cid:durableId="1237744897">
    <w:abstractNumId w:val="1"/>
  </w:num>
  <w:num w:numId="5" w16cid:durableId="1658413928">
    <w:abstractNumId w:val="11"/>
  </w:num>
  <w:num w:numId="6" w16cid:durableId="1418136288">
    <w:abstractNumId w:val="2"/>
  </w:num>
  <w:num w:numId="7" w16cid:durableId="1447500484">
    <w:abstractNumId w:val="8"/>
  </w:num>
  <w:num w:numId="8" w16cid:durableId="2067796916">
    <w:abstractNumId w:val="3"/>
  </w:num>
  <w:num w:numId="9" w16cid:durableId="164325028">
    <w:abstractNumId w:val="4"/>
  </w:num>
  <w:num w:numId="10" w16cid:durableId="1563060284">
    <w:abstractNumId w:val="6"/>
  </w:num>
  <w:num w:numId="11" w16cid:durableId="594944007">
    <w:abstractNumId w:val="0"/>
  </w:num>
  <w:num w:numId="12" w16cid:durableId="1564484324">
    <w:abstractNumId w:val="9"/>
  </w:num>
  <w:num w:numId="13" w16cid:durableId="1631474112">
    <w:abstractNumId w:val="5"/>
  </w:num>
  <w:num w:numId="14" w16cid:durableId="629670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07F1D05-89F8-4F17-B880-098C79F7D03C}"/>
    <w:docVar w:name="dgnword-eventsink" w:val="1456422682672"/>
  </w:docVars>
  <w:rsids>
    <w:rsidRoot w:val="005D52A7"/>
    <w:rsid w:val="00041D73"/>
    <w:rsid w:val="000C5547"/>
    <w:rsid w:val="00113AC4"/>
    <w:rsid w:val="00154CAF"/>
    <w:rsid w:val="0019278B"/>
    <w:rsid w:val="001A7A46"/>
    <w:rsid w:val="001C7E9D"/>
    <w:rsid w:val="001D17A3"/>
    <w:rsid w:val="00240FC6"/>
    <w:rsid w:val="00263E8A"/>
    <w:rsid w:val="0027654A"/>
    <w:rsid w:val="002C437A"/>
    <w:rsid w:val="002F4ABA"/>
    <w:rsid w:val="003171F0"/>
    <w:rsid w:val="00320F52"/>
    <w:rsid w:val="003305F4"/>
    <w:rsid w:val="00343D83"/>
    <w:rsid w:val="00345BA1"/>
    <w:rsid w:val="003914F1"/>
    <w:rsid w:val="003949A5"/>
    <w:rsid w:val="003B4CFA"/>
    <w:rsid w:val="00470A00"/>
    <w:rsid w:val="004927C3"/>
    <w:rsid w:val="004A6044"/>
    <w:rsid w:val="004F1A77"/>
    <w:rsid w:val="004F34D2"/>
    <w:rsid w:val="00505A0E"/>
    <w:rsid w:val="0051607F"/>
    <w:rsid w:val="005303AD"/>
    <w:rsid w:val="00541516"/>
    <w:rsid w:val="005D52A7"/>
    <w:rsid w:val="00617595"/>
    <w:rsid w:val="00671193"/>
    <w:rsid w:val="006815B1"/>
    <w:rsid w:val="006E732B"/>
    <w:rsid w:val="006F2E68"/>
    <w:rsid w:val="00746DF2"/>
    <w:rsid w:val="00756E42"/>
    <w:rsid w:val="00776B68"/>
    <w:rsid w:val="007B06B3"/>
    <w:rsid w:val="007D33EF"/>
    <w:rsid w:val="007D3584"/>
    <w:rsid w:val="00820169"/>
    <w:rsid w:val="008933C5"/>
    <w:rsid w:val="008F00B8"/>
    <w:rsid w:val="00903BE7"/>
    <w:rsid w:val="00926AF4"/>
    <w:rsid w:val="009428E9"/>
    <w:rsid w:val="00950485"/>
    <w:rsid w:val="00964D6B"/>
    <w:rsid w:val="00986290"/>
    <w:rsid w:val="009B1E38"/>
    <w:rsid w:val="009D3AE9"/>
    <w:rsid w:val="009E67D0"/>
    <w:rsid w:val="00A44004"/>
    <w:rsid w:val="00A47F3F"/>
    <w:rsid w:val="00A73FB1"/>
    <w:rsid w:val="00A90CDE"/>
    <w:rsid w:val="00AD73EF"/>
    <w:rsid w:val="00AD7B4B"/>
    <w:rsid w:val="00B072CC"/>
    <w:rsid w:val="00B23DEA"/>
    <w:rsid w:val="00B6299F"/>
    <w:rsid w:val="00BA1CC8"/>
    <w:rsid w:val="00BF2AEE"/>
    <w:rsid w:val="00C44E51"/>
    <w:rsid w:val="00CB656A"/>
    <w:rsid w:val="00CF6EC8"/>
    <w:rsid w:val="00D07B10"/>
    <w:rsid w:val="00D10551"/>
    <w:rsid w:val="00DC1AB6"/>
    <w:rsid w:val="00DD0A74"/>
    <w:rsid w:val="00DE17BC"/>
    <w:rsid w:val="00E37193"/>
    <w:rsid w:val="00E55282"/>
    <w:rsid w:val="00EE4D3A"/>
    <w:rsid w:val="00F355DC"/>
    <w:rsid w:val="00FB583E"/>
    <w:rsid w:val="00FD15F6"/>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22C0E36"/>
  <w15:chartTrackingRefBased/>
  <w15:docId w15:val="{3AA6522D-CF06-4B4D-B7F7-B8149F38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a-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lang w:val="es-ES" w:bidi="ar-SA"/>
    </w:rPr>
  </w:style>
  <w:style w:type="paragraph" w:styleId="Heading1">
    <w:name w:val="heading 1"/>
    <w:basedOn w:val="Normal"/>
    <w:next w:val="Normal"/>
    <w:qFormat/>
    <w:pPr>
      <w:keepNext/>
      <w:widowControl/>
      <w:tabs>
        <w:tab w:val="left" w:pos="-1404"/>
        <w:tab w:val="left" w:pos="-972"/>
        <w:tab w:val="right" w:pos="-24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25" w:lineRule="auto"/>
      <w:outlineLvl w:val="0"/>
    </w:pPr>
    <w:rPr>
      <w:rFonts w:ascii="Times New Roman" w:hAnsi="Times New Roman"/>
      <w:sz w:val="24"/>
    </w:rPr>
  </w:style>
  <w:style w:type="paragraph" w:styleId="Heading2">
    <w:name w:val="heading 2"/>
    <w:basedOn w:val="Normal"/>
    <w:next w:val="Normal"/>
    <w:qFormat/>
    <w:pPr>
      <w:keepNext/>
      <w:ind w:right="720"/>
      <w:outlineLvl w:val="1"/>
    </w:pPr>
    <w:rPr>
      <w:rFonts w:ascii="Times" w:hAnsi="Times"/>
      <w:sz w:val="24"/>
    </w:rPr>
  </w:style>
  <w:style w:type="paragraph" w:styleId="Heading7">
    <w:name w:val="heading 7"/>
    <w:basedOn w:val="Normal"/>
    <w:next w:val="Normal"/>
    <w:qFormat/>
    <w:pPr>
      <w:keepNext/>
      <w:widowControl/>
      <w:autoSpaceDE/>
      <w:autoSpaceDN/>
      <w:adjustRightInd/>
      <w:ind w:left="450" w:firstLine="720"/>
      <w:outlineLvl w:val="6"/>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404"/>
        <w:tab w:val="left" w:pos="-972"/>
        <w:tab w:val="right" w:pos="-24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25" w:lineRule="auto"/>
      <w:ind w:left="3360" w:hanging="3360"/>
    </w:pPr>
    <w:rPr>
      <w:rFonts w:ascii="Times New Roman" w:hAnsi="Times New Roman"/>
      <w:sz w:val="24"/>
    </w:rPr>
  </w:style>
  <w:style w:type="paragraph" w:styleId="BodyText">
    <w:name w:val="Body Text"/>
    <w:basedOn w:val="Normal"/>
    <w:pPr>
      <w:jc w:val="both"/>
    </w:pPr>
    <w:rPr>
      <w:rFonts w:ascii="Times New Roman" w:hAnsi="Times New Roman"/>
      <w:sz w:val="24"/>
    </w:rPr>
  </w:style>
  <w:style w:type="character" w:customStyle="1" w:styleId="MessageHeaderLabel">
    <w:name w:val="Message Header Label"/>
    <w:rPr>
      <w:rFonts w:ascii="Arial" w:hAnsi="Arial"/>
      <w:b/>
      <w:caps/>
      <w:sz w:val="18"/>
    </w:rPr>
  </w:style>
  <w:style w:type="paragraph" w:styleId="BlockText">
    <w:name w:val="Block Text"/>
    <w:basedOn w:val="Normal"/>
    <w:pPr>
      <w:tabs>
        <w:tab w:val="left" w:pos="9630"/>
      </w:tabs>
      <w:autoSpaceDE/>
      <w:autoSpaceDN/>
      <w:adjustRightInd/>
      <w:spacing w:line="480" w:lineRule="auto"/>
      <w:ind w:left="720" w:right="810"/>
    </w:pPr>
    <w:rPr>
      <w:rFonts w:ascii="Times" w:hAnsi="Times"/>
      <w:sz w:val="24"/>
    </w:rPr>
  </w:style>
  <w:style w:type="paragraph" w:styleId="BodyTextIndent2">
    <w:name w:val="Body Text Indent 2"/>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1440"/>
    </w:pPr>
    <w:rPr>
      <w:rFonts w:ascii="Times" w:hAnsi="Times"/>
      <w:sz w:val="24"/>
    </w:rPr>
  </w:style>
  <w:style w:type="paragraph" w:styleId="BodyTextIndent3">
    <w:name w:val="Body Text Indent 3"/>
    <w:basedOn w:val="Normal"/>
    <w:pPr>
      <w:widowControl/>
      <w:autoSpaceDE/>
      <w:autoSpaceDN/>
      <w:adjustRightInd/>
      <w:ind w:left="1440"/>
    </w:pPr>
    <w:rPr>
      <w:rFonts w:ascii="Times" w:eastAsia="Times" w:hAnsi="Times"/>
      <w:color w:val="0000FF"/>
    </w:rPr>
  </w:style>
  <w:style w:type="character" w:styleId="Hyperlink">
    <w:name w:val="Hyperlink"/>
    <w:rsid w:val="009428E9"/>
    <w:rPr>
      <w:color w:val="0000FF"/>
      <w:u w:val="single"/>
    </w:rPr>
  </w:style>
  <w:style w:type="paragraph" w:styleId="BalloonText">
    <w:name w:val="Balloon Text"/>
    <w:basedOn w:val="Normal"/>
    <w:semiHidden/>
    <w:rsid w:val="004F1A77"/>
    <w:rPr>
      <w:rFonts w:ascii="Tahoma" w:hAnsi="Tahoma" w:cs="Tahoma"/>
      <w:sz w:val="16"/>
      <w:szCs w:val="16"/>
    </w:rPr>
  </w:style>
  <w:style w:type="paragraph" w:customStyle="1" w:styleId="Default">
    <w:name w:val="Default"/>
    <w:rsid w:val="005303AD"/>
    <w:pPr>
      <w:autoSpaceDE w:val="0"/>
      <w:autoSpaceDN w:val="0"/>
      <w:adjustRightInd w:val="0"/>
    </w:pPr>
    <w:rPr>
      <w:color w:val="000000"/>
      <w:sz w:val="24"/>
      <w:szCs w:val="24"/>
      <w:lang w:val="es-ES" w:bidi="ar-SA"/>
    </w:rPr>
  </w:style>
  <w:style w:type="character" w:styleId="UnresolvedMention">
    <w:name w:val="Unresolved Mention"/>
    <w:uiPriority w:val="99"/>
    <w:semiHidden/>
    <w:unhideWhenUsed/>
    <w:rsid w:val="0053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637">
      <w:bodyDiv w:val="1"/>
      <w:marLeft w:val="0"/>
      <w:marRight w:val="0"/>
      <w:marTop w:val="0"/>
      <w:marBottom w:val="0"/>
      <w:divBdr>
        <w:top w:val="none" w:sz="0" w:space="0" w:color="auto"/>
        <w:left w:val="none" w:sz="0" w:space="0" w:color="auto"/>
        <w:bottom w:val="none" w:sz="0" w:space="0" w:color="auto"/>
        <w:right w:val="none" w:sz="0" w:space="0" w:color="auto"/>
      </w:divBdr>
    </w:div>
    <w:div w:id="508831356">
      <w:bodyDiv w:val="1"/>
      <w:marLeft w:val="0"/>
      <w:marRight w:val="0"/>
      <w:marTop w:val="0"/>
      <w:marBottom w:val="0"/>
      <w:divBdr>
        <w:top w:val="none" w:sz="0" w:space="0" w:color="auto"/>
        <w:left w:val="none" w:sz="0" w:space="0" w:color="auto"/>
        <w:bottom w:val="none" w:sz="0" w:space="0" w:color="auto"/>
        <w:right w:val="none" w:sz="0" w:space="0" w:color="auto"/>
      </w:divBdr>
    </w:div>
    <w:div w:id="9003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PRPLRVSSupport@cc.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taylorj</dc:creator>
  <cp:keywords/>
  <cp:lastModifiedBy>Grant, Nicole (NIH/OD) [E]</cp:lastModifiedBy>
  <cp:revision>2</cp:revision>
  <cp:lastPrinted>2014-02-26T21:11:00Z</cp:lastPrinted>
  <dcterms:created xsi:type="dcterms:W3CDTF">2026-04-15T12:08:00Z</dcterms:created>
  <dcterms:modified xsi:type="dcterms:W3CDTF">2026-04-15T12:08:00Z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